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E860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Confidence in gaining employment questions</w:t>
      </w:r>
    </w:p>
    <w:p w14:paraId="19C063AC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40"/>
          <w:szCs w:val="40"/>
        </w:rPr>
      </w:pPr>
      <w:bookmarkStart w:id="0" w:name="_heading=h.ven8k4rp6bbc" w:colFirst="0" w:colLast="0"/>
      <w:bookmarkEnd w:id="0"/>
    </w:p>
    <w:p w14:paraId="04BC8B30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24"/>
          <w:szCs w:val="24"/>
        </w:rPr>
      </w:pPr>
      <w:bookmarkStart w:id="1" w:name="_heading=h.uksbxhrvalnd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When should you use these questions?</w:t>
      </w:r>
    </w:p>
    <w:p w14:paraId="503471C6" w14:textId="67EB60F4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questions may be useful if your project aims to increase participants’ confidence, particularly their confidence in gaining employment. The questions have been previously developed by L&amp;W</w:t>
      </w:r>
      <w:r w:rsidR="002D57EF">
        <w:rPr>
          <w:rStyle w:val="FootnoteReference"/>
          <w:rFonts w:ascii="Calibri" w:eastAsia="Calibri" w:hAnsi="Calibri" w:cs="Calibri"/>
          <w:sz w:val="24"/>
          <w:szCs w:val="24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>, and have been used in several national government surveys.</w:t>
      </w:r>
    </w:p>
    <w:p w14:paraId="06FDA1C2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24"/>
          <w:szCs w:val="24"/>
        </w:rPr>
      </w:pPr>
      <w:bookmarkStart w:id="2" w:name="_heading=h.qtqd6aro04zq" w:colFirst="0" w:colLast="0"/>
      <w:bookmarkEnd w:id="2"/>
    </w:p>
    <w:p w14:paraId="4B33475F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24"/>
          <w:szCs w:val="24"/>
        </w:rPr>
      </w:pPr>
      <w:bookmarkStart w:id="3" w:name="_heading=h.oxgl8jcjbjjy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How to use these questions</w:t>
      </w:r>
    </w:p>
    <w:p w14:paraId="0945F4B0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questions can be copied and pasted directly into a questionnaire. It is important to include all six questions, in order to cover all aspects of confidence in gaining employment.</w:t>
      </w:r>
    </w:p>
    <w:p w14:paraId="5BC8AA00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</w:p>
    <w:p w14:paraId="3C2EA654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the first four questions, choosing ‘agree’ or ‘strongly agree’ shows a higher level of confidence. This is also shown by choosing ‘confident’ or ‘completely confident’ for the last two questions.</w:t>
      </w:r>
    </w:p>
    <w:p w14:paraId="64AFC6AB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</w:p>
    <w:p w14:paraId="46658C60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analyse the results of the first four questions, you can combine separately for each question the number of participants who agreed/strongly agreed, disagreed/strongly disagreed or had no preference. </w:t>
      </w:r>
    </w:p>
    <w:p w14:paraId="40C71B30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</w:p>
    <w:p w14:paraId="316AD1E3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bookmarkStart w:id="4" w:name="_heading=h.13hq8naqc5sl" w:colFirst="0" w:colLast="0"/>
      <w:bookmarkEnd w:id="4"/>
      <w:r>
        <w:rPr>
          <w:rFonts w:ascii="Calibri" w:eastAsia="Calibri" w:hAnsi="Calibri" w:cs="Calibri"/>
          <w:sz w:val="24"/>
          <w:szCs w:val="24"/>
        </w:rPr>
        <w:t>To analyse the results of the last two questions, you can combine separately for each question the number of participants who were confident/completely confident, not confident/not at all confident or didn’t know.</w:t>
      </w:r>
    </w:p>
    <w:p w14:paraId="6A02B5F2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17"/>
          <w:szCs w:val="17"/>
        </w:rPr>
      </w:pPr>
      <w:bookmarkStart w:id="5" w:name="_heading=h.n738ffpvx9cp" w:colFirst="0" w:colLast="0"/>
      <w:bookmarkEnd w:id="5"/>
    </w:p>
    <w:p w14:paraId="050B05DF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17"/>
          <w:szCs w:val="17"/>
        </w:rPr>
      </w:pPr>
      <w:bookmarkStart w:id="6" w:name="_heading=h.96wy0499ru5h" w:colFirst="0" w:colLast="0"/>
      <w:bookmarkEnd w:id="6"/>
    </w:p>
    <w:p w14:paraId="12ECE048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17"/>
          <w:szCs w:val="17"/>
        </w:rPr>
      </w:pPr>
      <w:bookmarkStart w:id="7" w:name="_heading=h.we5fxbr8e6bk" w:colFirst="0" w:colLast="0"/>
      <w:bookmarkEnd w:id="7"/>
    </w:p>
    <w:p w14:paraId="2464DA56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40"/>
          <w:szCs w:val="40"/>
        </w:rPr>
      </w:pPr>
      <w:bookmarkStart w:id="8" w:name="_heading=h.4l0vq6iirsqh" w:colFirst="0" w:colLast="0"/>
      <w:bookmarkEnd w:id="8"/>
    </w:p>
    <w:p w14:paraId="4C18E737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40"/>
          <w:szCs w:val="40"/>
        </w:rPr>
      </w:pPr>
      <w:bookmarkStart w:id="9" w:name="_heading=h.l9moinpgobsz" w:colFirst="0" w:colLast="0"/>
      <w:bookmarkEnd w:id="9"/>
    </w:p>
    <w:p w14:paraId="726AF7E1" w14:textId="77777777" w:rsidR="00B47478" w:rsidRDefault="00B47478" w:rsidP="00B47478">
      <w:pPr>
        <w:shd w:val="clear" w:color="auto" w:fill="FFFFFF"/>
        <w:spacing w:after="0"/>
        <w:rPr>
          <w:rFonts w:ascii="Calibri" w:eastAsia="Calibri" w:hAnsi="Calibri" w:cs="Calibri"/>
          <w:b/>
          <w:sz w:val="40"/>
          <w:szCs w:val="40"/>
        </w:rPr>
      </w:pPr>
      <w:bookmarkStart w:id="10" w:name="_heading=h.kozl94j86otk" w:colFirst="0" w:colLast="0"/>
      <w:bookmarkEnd w:id="10"/>
    </w:p>
    <w:p w14:paraId="0CB456D9" w14:textId="77777777" w:rsidR="00B47478" w:rsidRDefault="00B47478" w:rsidP="00B47478">
      <w:pPr>
        <w:rPr>
          <w:rFonts w:ascii="Calibri" w:eastAsia="Calibri" w:hAnsi="Calibri" w:cs="Calibri"/>
          <w:b/>
          <w:sz w:val="21"/>
          <w:szCs w:val="21"/>
        </w:rPr>
      </w:pPr>
    </w:p>
    <w:p w14:paraId="7D7469B7" w14:textId="77777777" w:rsidR="00B47478" w:rsidRDefault="00B47478" w:rsidP="00B47478">
      <w:pPr>
        <w:rPr>
          <w:rFonts w:ascii="Calibri" w:eastAsia="Calibri" w:hAnsi="Calibri" w:cs="Calibri"/>
          <w:b/>
          <w:sz w:val="21"/>
          <w:szCs w:val="21"/>
        </w:rPr>
      </w:pPr>
      <w:bookmarkStart w:id="11" w:name="_heading=h.i611q5z2ycnx" w:colFirst="0" w:colLast="0"/>
      <w:bookmarkEnd w:id="11"/>
    </w:p>
    <w:p w14:paraId="76089C18" w14:textId="77777777" w:rsidR="00B47478" w:rsidRDefault="00B47478" w:rsidP="00B47478">
      <w:pPr>
        <w:rPr>
          <w:rFonts w:ascii="Calibri" w:eastAsia="Calibri" w:hAnsi="Calibri" w:cs="Calibri"/>
          <w:b/>
          <w:sz w:val="21"/>
          <w:szCs w:val="21"/>
        </w:rPr>
      </w:pPr>
      <w:bookmarkStart w:id="12" w:name="_heading=h.r992d72oz0km" w:colFirst="0" w:colLast="0"/>
      <w:bookmarkEnd w:id="12"/>
    </w:p>
    <w:p w14:paraId="4359466B" w14:textId="77777777" w:rsidR="00B47478" w:rsidRDefault="00B47478" w:rsidP="00B47478">
      <w:pPr>
        <w:rPr>
          <w:rFonts w:ascii="Calibri" w:eastAsia="Calibri" w:hAnsi="Calibri" w:cs="Calibri"/>
          <w:b/>
          <w:sz w:val="21"/>
          <w:szCs w:val="21"/>
        </w:rPr>
      </w:pPr>
      <w:bookmarkStart w:id="13" w:name="_heading=h.jep09hmsqrkq" w:colFirst="0" w:colLast="0"/>
      <w:bookmarkEnd w:id="13"/>
    </w:p>
    <w:p w14:paraId="52EF60E5" w14:textId="77777777" w:rsidR="00B47478" w:rsidRDefault="00B47478" w:rsidP="00B47478">
      <w:pPr>
        <w:rPr>
          <w:rFonts w:ascii="Calibri" w:eastAsia="Calibri" w:hAnsi="Calibri" w:cs="Calibri"/>
          <w:b/>
          <w:sz w:val="21"/>
          <w:szCs w:val="21"/>
        </w:rPr>
      </w:pPr>
      <w:bookmarkStart w:id="14" w:name="_heading=h.fdqei1kywjf" w:colFirst="0" w:colLast="0"/>
      <w:bookmarkEnd w:id="14"/>
    </w:p>
    <w:p w14:paraId="44650BDB" w14:textId="77777777" w:rsidR="00B47478" w:rsidRDefault="00B47478" w:rsidP="00B47478">
      <w:pPr>
        <w:rPr>
          <w:rFonts w:ascii="Calibri" w:eastAsia="Calibri" w:hAnsi="Calibri" w:cs="Calibri"/>
          <w:b/>
          <w:sz w:val="21"/>
          <w:szCs w:val="21"/>
        </w:rPr>
      </w:pPr>
      <w:bookmarkStart w:id="15" w:name="_heading=h.crguj82ep5p4" w:colFirst="0" w:colLast="0"/>
      <w:bookmarkEnd w:id="15"/>
    </w:p>
    <w:p w14:paraId="7384A227" w14:textId="77777777" w:rsidR="00B47478" w:rsidRDefault="00B47478" w:rsidP="00B47478">
      <w:pPr>
        <w:rPr>
          <w:rFonts w:ascii="Calibri" w:eastAsia="Calibri" w:hAnsi="Calibri" w:cs="Calibri"/>
          <w:b/>
          <w:sz w:val="21"/>
          <w:szCs w:val="21"/>
        </w:rPr>
      </w:pPr>
      <w:bookmarkStart w:id="16" w:name="_heading=h.e8uau4klwk90" w:colFirst="0" w:colLast="0"/>
      <w:bookmarkEnd w:id="16"/>
    </w:p>
    <w:p w14:paraId="424DAAF4" w14:textId="77777777" w:rsidR="00B47478" w:rsidRDefault="00B47478" w:rsidP="00B47478">
      <w:pPr>
        <w:rPr>
          <w:rFonts w:ascii="Calibri" w:eastAsia="Calibri" w:hAnsi="Calibri" w:cs="Calibri"/>
          <w:b/>
          <w:sz w:val="40"/>
          <w:szCs w:val="40"/>
        </w:rPr>
      </w:pPr>
      <w:bookmarkStart w:id="17" w:name="_heading=h.ejg7n6mp9htr" w:colFirst="0" w:colLast="0"/>
      <w:bookmarkEnd w:id="17"/>
      <w:r>
        <w:rPr>
          <w:rFonts w:ascii="Calibri" w:eastAsia="Calibri" w:hAnsi="Calibri" w:cs="Calibri"/>
          <w:b/>
          <w:sz w:val="21"/>
          <w:szCs w:val="21"/>
        </w:rPr>
        <w:t>Please select how much you agree, or how confident you are, with each statement.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1332"/>
        <w:gridCol w:w="1332"/>
        <w:gridCol w:w="1333"/>
        <w:gridCol w:w="1332"/>
        <w:gridCol w:w="1333"/>
      </w:tblGrid>
      <w:tr w:rsidR="00B47478" w14:paraId="23CB40D0" w14:textId="77777777" w:rsidTr="006134A4">
        <w:tc>
          <w:tcPr>
            <w:tcW w:w="3120" w:type="dxa"/>
            <w:tcBorders>
              <w:bottom w:val="nil"/>
              <w:right w:val="nil"/>
            </w:tcBorders>
            <w:shd w:val="clear" w:color="auto" w:fill="E6B84F"/>
            <w:vAlign w:val="center"/>
          </w:tcPr>
          <w:p w14:paraId="38A424FD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0C2BC94B" w14:textId="77777777" w:rsidR="00B47478" w:rsidRDefault="00B47478" w:rsidP="006134A4">
            <w:pPr>
              <w:spacing w:before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agree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06D5EB63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57B3DDBA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preference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2A4DFB38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Disagree</w:t>
            </w:r>
          </w:p>
        </w:tc>
        <w:tc>
          <w:tcPr>
            <w:tcW w:w="1333" w:type="dxa"/>
            <w:tcBorders>
              <w:left w:val="nil"/>
              <w:bottom w:val="nil"/>
            </w:tcBorders>
            <w:shd w:val="clear" w:color="auto" w:fill="E6B84F"/>
            <w:vAlign w:val="center"/>
          </w:tcPr>
          <w:p w14:paraId="0CAB543C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disagree</w:t>
            </w:r>
          </w:p>
        </w:tc>
      </w:tr>
      <w:tr w:rsidR="00B47478" w14:paraId="7E954C67" w14:textId="77777777" w:rsidTr="006134A4">
        <w:tc>
          <w:tcPr>
            <w:tcW w:w="312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7823C2F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6A4BC1FF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almost any type of paid work is better than not working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E3531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B85AB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3EE7A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093D0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DC37611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B47478" w14:paraId="18BC901D" w14:textId="77777777" w:rsidTr="006134A4">
        <w:tc>
          <w:tcPr>
            <w:tcW w:w="3120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40A110B7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E0B1BB6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thought of being in paid work is better than not working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0B331027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40FF6589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20E7098B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A65EBFE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131B4897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B47478" w14:paraId="2D28B887" w14:textId="77777777" w:rsidTr="006134A4">
        <w:tc>
          <w:tcPr>
            <w:tcW w:w="312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14F17869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0EA51FC0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am confident that I can find a job that suits me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FC6CA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A1C82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47B12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24531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9B5591F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B47478" w14:paraId="252DC32D" w14:textId="77777777" w:rsidTr="006134A4">
        <w:tc>
          <w:tcPr>
            <w:tcW w:w="3120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0E3BEAB6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2BA80F87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would be happier, more fulfilled person if I was in paid work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6968657D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650A5622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8973B81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3CD2A5F2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783505D5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B47478" w14:paraId="73DADD7A" w14:textId="77777777" w:rsidTr="006134A4">
        <w:trPr>
          <w:trHeight w:val="866"/>
        </w:trPr>
        <w:tc>
          <w:tcPr>
            <w:tcW w:w="3120" w:type="dxa"/>
            <w:tcBorders>
              <w:top w:val="nil"/>
              <w:bottom w:val="nil"/>
              <w:right w:val="nil"/>
            </w:tcBorders>
            <w:shd w:val="clear" w:color="auto" w:fill="E6B84F"/>
            <w:vAlign w:val="center"/>
          </w:tcPr>
          <w:p w14:paraId="67A5667E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4F59E51C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at all confident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46B74E3F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confident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01419005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Confident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4B3ECE15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Completely confident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shd w:val="clear" w:color="auto" w:fill="E6B84F"/>
            <w:vAlign w:val="center"/>
          </w:tcPr>
          <w:p w14:paraId="4374D34C" w14:textId="77777777" w:rsidR="00B47478" w:rsidRDefault="00B47478" w:rsidP="006134A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Don’t know</w:t>
            </w:r>
          </w:p>
        </w:tc>
      </w:tr>
      <w:tr w:rsidR="00B47478" w14:paraId="75C5BDB4" w14:textId="77777777" w:rsidTr="006134A4">
        <w:tc>
          <w:tcPr>
            <w:tcW w:w="312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E6F8D7A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08935A6A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can do well in job interviews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046DD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B4228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5E960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6D07A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F98D8E7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B47478" w14:paraId="3E061CCB" w14:textId="77777777" w:rsidTr="006134A4">
        <w:tc>
          <w:tcPr>
            <w:tcW w:w="3120" w:type="dxa"/>
            <w:tcBorders>
              <w:top w:val="nil"/>
              <w:right w:val="nil"/>
            </w:tcBorders>
            <w:shd w:val="clear" w:color="auto" w:fill="E4E7EA"/>
            <w:vAlign w:val="center"/>
          </w:tcPr>
          <w:p w14:paraId="3E0B8D8A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5C41B761" w14:textId="77777777" w:rsidR="00B47478" w:rsidRDefault="00B47478" w:rsidP="006134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can cope with rejections and knock backs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6024F2AE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047EF360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154B6E83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09DB59C1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</w:tcBorders>
            <w:shd w:val="clear" w:color="auto" w:fill="E4E7EA"/>
            <w:vAlign w:val="center"/>
          </w:tcPr>
          <w:p w14:paraId="3F0F0380" w14:textId="77777777" w:rsidR="00B47478" w:rsidRDefault="00B47478" w:rsidP="0061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</w:tbl>
    <w:p w14:paraId="0B8B62AE" w14:textId="77777777" w:rsidR="00B47478" w:rsidRDefault="00B47478" w:rsidP="00B47478">
      <w:pPr>
        <w:rPr>
          <w:rFonts w:ascii="Calibri" w:eastAsia="Calibri" w:hAnsi="Calibri" w:cs="Calibri"/>
          <w:sz w:val="21"/>
          <w:szCs w:val="21"/>
        </w:rPr>
      </w:pPr>
      <w:bookmarkStart w:id="18" w:name="_heading=h.gjdgxs" w:colFirst="0" w:colLast="0"/>
      <w:bookmarkEnd w:id="18"/>
    </w:p>
    <w:p w14:paraId="178DA977" w14:textId="77777777" w:rsidR="00125FB9" w:rsidRDefault="00914F31"/>
    <w:sectPr w:rsidR="00125FB9">
      <w:pgSz w:w="11900" w:h="16840"/>
      <w:pgMar w:top="1440" w:right="1440" w:bottom="1440" w:left="10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47AF" w14:textId="77777777" w:rsidR="002D57EF" w:rsidRDefault="002D57EF" w:rsidP="002D57EF">
      <w:pPr>
        <w:spacing w:after="0" w:line="240" w:lineRule="auto"/>
      </w:pPr>
      <w:r>
        <w:separator/>
      </w:r>
    </w:p>
  </w:endnote>
  <w:endnote w:type="continuationSeparator" w:id="0">
    <w:p w14:paraId="05A395FF" w14:textId="77777777" w:rsidR="002D57EF" w:rsidRDefault="002D57EF" w:rsidP="002D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0D64" w14:textId="77777777" w:rsidR="002D57EF" w:rsidRDefault="002D57EF" w:rsidP="002D57EF">
      <w:pPr>
        <w:spacing w:after="0" w:line="240" w:lineRule="auto"/>
      </w:pPr>
      <w:r>
        <w:separator/>
      </w:r>
    </w:p>
  </w:footnote>
  <w:footnote w:type="continuationSeparator" w:id="0">
    <w:p w14:paraId="0A2936CC" w14:textId="77777777" w:rsidR="002D57EF" w:rsidRDefault="002D57EF" w:rsidP="002D57EF">
      <w:pPr>
        <w:spacing w:after="0" w:line="240" w:lineRule="auto"/>
      </w:pPr>
      <w:r>
        <w:continuationSeparator/>
      </w:r>
    </w:p>
  </w:footnote>
  <w:footnote w:id="1">
    <w:p w14:paraId="4BF366E1" w14:textId="6E3D06EF" w:rsidR="002D57EF" w:rsidRDefault="002D57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63D">
        <w:rPr>
          <w:color w:val="000000"/>
        </w:rPr>
        <w:t xml:space="preserve"> </w:t>
      </w:r>
      <w:hyperlink r:id="rId1" w:history="1">
        <w:r w:rsidR="00914F31" w:rsidRPr="00914F31">
          <w:rPr>
            <w:rStyle w:val="Hyperlink"/>
          </w:rPr>
          <w:t>https://learningand</w:t>
        </w:r>
        <w:r w:rsidR="00914F31" w:rsidRPr="00914F31">
          <w:rPr>
            <w:rStyle w:val="Hyperlink"/>
          </w:rPr>
          <w:t>w</w:t>
        </w:r>
        <w:r w:rsidR="00914F31" w:rsidRPr="00914F31">
          <w:rPr>
            <w:rStyle w:val="Hyperlink"/>
          </w:rPr>
          <w:t>ork.org.uk/wp-content/uploads/2020/06/Social-Metrics-Measuring-the-outcomes-of-non-accredited-learning.pdf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78"/>
    <w:rsid w:val="001E463D"/>
    <w:rsid w:val="00237634"/>
    <w:rsid w:val="002D57EF"/>
    <w:rsid w:val="003239F5"/>
    <w:rsid w:val="00732551"/>
    <w:rsid w:val="00914F31"/>
    <w:rsid w:val="00B47478"/>
    <w:rsid w:val="00B57422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F199"/>
  <w15:chartTrackingRefBased/>
  <w15:docId w15:val="{47392414-CF85-44A6-BBD1-7E6F7AB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78"/>
    <w:rPr>
      <w:rFonts w:eastAsia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57E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7EF"/>
    <w:rPr>
      <w:rFonts w:eastAsia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57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4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ingandwork.org.uk/wp-content/uploads/2020/06/Social-Metrics-Measuring-the-outcomes-of-non-accredited-lear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FC47-AAEA-4733-B949-B76BA3D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Corin Egglestone</cp:lastModifiedBy>
  <cp:revision>4</cp:revision>
  <dcterms:created xsi:type="dcterms:W3CDTF">2021-03-11T09:52:00Z</dcterms:created>
  <dcterms:modified xsi:type="dcterms:W3CDTF">2021-03-11T11:18:00Z</dcterms:modified>
</cp:coreProperties>
</file>